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F803" w14:textId="77777777" w:rsidR="0030324B" w:rsidRPr="0030324B" w:rsidRDefault="0030324B" w:rsidP="0030324B">
      <w:r w:rsidRPr="0030324B">
        <w:rPr>
          <w:b/>
          <w:bCs/>
        </w:rPr>
        <w:t>Achtung: Wichtige Kundeninformation!</w:t>
      </w:r>
      <w:r w:rsidRPr="0030324B">
        <w:t> </w:t>
      </w:r>
    </w:p>
    <w:p w14:paraId="4682666D" w14:textId="4A531984" w:rsidR="0030324B" w:rsidRDefault="0030324B" w:rsidP="0030324B">
      <w:r>
        <w:rPr>
          <w:b/>
          <w:bCs/>
        </w:rPr>
        <w:t>Ein</w:t>
      </w:r>
      <w:r w:rsidRPr="0030324B">
        <w:rPr>
          <w:b/>
          <w:bCs/>
        </w:rPr>
        <w:t xml:space="preserve">stellung Ihres Loseblattwerkes </w:t>
      </w:r>
      <w:r w:rsidRPr="00E1558A">
        <w:rPr>
          <w:b/>
          <w:bCs/>
        </w:rPr>
        <w:t xml:space="preserve">Grunderwerbsteuergesetz Kommentar/Weilbach </w:t>
      </w:r>
    </w:p>
    <w:p w14:paraId="2CAA585F" w14:textId="77777777" w:rsidR="0030324B" w:rsidRPr="0030324B" w:rsidRDefault="0030324B" w:rsidP="0030324B"/>
    <w:p w14:paraId="13A04D8D" w14:textId="77777777" w:rsidR="0030324B" w:rsidRDefault="0030324B" w:rsidP="0030324B">
      <w:r w:rsidRPr="0030324B">
        <w:t>Sehr geehrte/r Kunde/in,   </w:t>
      </w:r>
    </w:p>
    <w:p w14:paraId="6FD0A87C" w14:textId="4349D3BB" w:rsidR="0030324B" w:rsidRPr="00E1558A" w:rsidRDefault="0030324B" w:rsidP="0030324B">
      <w:r w:rsidRPr="00E1558A">
        <w:t>nach Auslieferung der 59. Ergänzungslieferung (Erscheinungstermin: 27.03.2025) haben sich der Herausgeber Herr Finanzpräsident a.</w:t>
      </w:r>
      <w:r w:rsidRPr="00E1558A">
        <w:rPr>
          <w:rFonts w:ascii="Arial" w:hAnsi="Arial" w:cs="Arial"/>
        </w:rPr>
        <w:t> </w:t>
      </w:r>
      <w:r w:rsidRPr="00E1558A">
        <w:t>D. Dietrich Weilbach und d</w:t>
      </w:r>
      <w:r w:rsidR="00AA24DE">
        <w:t xml:space="preserve">er Verlag (Haufe) </w:t>
      </w:r>
      <w:r w:rsidRPr="00E1558A">
        <w:t>entschieden, den Kommentar zum Grunderwerbsteuergesetz (ISBN: 978-3-448-09910-2) künftig ausschließlich als Online-Kommentar im Rahmen der Haufe Steuer Office-Familie anzubieten. </w:t>
      </w:r>
    </w:p>
    <w:p w14:paraId="32DC83B3" w14:textId="77777777" w:rsidR="0030324B" w:rsidRPr="00E1558A" w:rsidRDefault="0030324B" w:rsidP="0030324B">
      <w:r w:rsidRPr="00E1558A">
        <w:t>Das seit 1983 geführte Werk wird nicht mehr als Loseblatt fortgeführt.  </w:t>
      </w:r>
    </w:p>
    <w:p w14:paraId="50B53E2C" w14:textId="77777777" w:rsidR="0030324B" w:rsidRPr="00E1558A" w:rsidRDefault="0030324B" w:rsidP="0030324B">
      <w:r w:rsidRPr="00E1558A">
        <w:t>Die Zahl der Loseblatt-Abonnements war infolge der vielen Wechsler auf die Online-Varianten zuletzt deutlich zurückgegangen.  </w:t>
      </w:r>
    </w:p>
    <w:p w14:paraId="541EF726" w14:textId="2E40323F" w:rsidR="0030324B" w:rsidRPr="00E1558A" w:rsidRDefault="00AA24DE" w:rsidP="0030324B">
      <w:r>
        <w:t>Ihr Abonnement</w:t>
      </w:r>
      <w:r w:rsidR="0030324B" w:rsidRPr="00E1558A">
        <w:t xml:space="preserve"> wird enden, falls </w:t>
      </w:r>
      <w:r>
        <w:t xml:space="preserve">Sie </w:t>
      </w:r>
      <w:r w:rsidR="0030324B" w:rsidRPr="00E1558A">
        <w:t>nicht auf die Vorteile einer Haufe Steuer Office-Familie setzen möchten.  </w:t>
      </w:r>
    </w:p>
    <w:p w14:paraId="42FC4C7D" w14:textId="37E1B2B1" w:rsidR="0030324B" w:rsidRPr="00E1558A" w:rsidRDefault="00AA24DE" w:rsidP="0030324B">
      <w:r>
        <w:rPr>
          <w:b/>
          <w:bCs/>
        </w:rPr>
        <w:t>Unser</w:t>
      </w:r>
      <w:r w:rsidR="0030324B" w:rsidRPr="00E1558A">
        <w:rPr>
          <w:b/>
          <w:bCs/>
        </w:rPr>
        <w:t>e Empfehlung: </w:t>
      </w:r>
      <w:r w:rsidR="0030324B" w:rsidRPr="00E1558A">
        <w:t> </w:t>
      </w:r>
    </w:p>
    <w:p w14:paraId="359F18E6" w14:textId="1D7E6CED" w:rsidR="0030324B" w:rsidRPr="00E1558A" w:rsidRDefault="00AA24DE" w:rsidP="0030324B">
      <w:r>
        <w:t>Sie können</w:t>
      </w:r>
      <w:r w:rsidR="0030324B" w:rsidRPr="00E1558A">
        <w:t xml:space="preserve"> im ersten Bezugsjahr das Haufe Steuer Office Kanzlei-Edition für 12 Monate mit 50</w:t>
      </w:r>
      <w:r w:rsidR="0030324B" w:rsidRPr="00E1558A">
        <w:rPr>
          <w:rFonts w:ascii="Arial" w:hAnsi="Arial" w:cs="Arial"/>
        </w:rPr>
        <w:t> </w:t>
      </w:r>
      <w:r w:rsidR="0030324B" w:rsidRPr="00E1558A">
        <w:t xml:space="preserve">% Rabatt auf den regulären Jahrespreis (674 EUR statt 1.349 EUR jeweils zzgl. MwSt.) </w:t>
      </w:r>
      <w:r>
        <w:t>nutzen</w:t>
      </w:r>
      <w:r w:rsidR="0030324B" w:rsidRPr="00E1558A">
        <w:t>, das nicht nur den GrEStG Kommentar enthält, sondern zahlreiche weitere Kommentierungen und andere attraktive Inhalte und Services.  </w:t>
      </w:r>
    </w:p>
    <w:p w14:paraId="4F3AE0F2" w14:textId="310CDD63" w:rsidR="00AA24DE" w:rsidRDefault="0030324B" w:rsidP="0030324B">
      <w:r w:rsidRPr="00E1558A">
        <w:t xml:space="preserve">In gewohnter Qualität und Aktualität werden zukünftig die Herausgeber und </w:t>
      </w:r>
      <w:proofErr w:type="spellStart"/>
      <w:proofErr w:type="gramStart"/>
      <w:r w:rsidRPr="00E1558A">
        <w:t>Autor:innen</w:t>
      </w:r>
      <w:proofErr w:type="spellEnd"/>
      <w:proofErr w:type="gramEnd"/>
      <w:r w:rsidRPr="00E1558A">
        <w:t xml:space="preserve"> das Grunderwerbsteuerrecht, verfügbar ab der Version Haufe Steuer Office Kanzlei Edition, kommentieren und dabei auch die praktisch bedeutsamen Konstellationen erläutern, da</w:t>
      </w:r>
      <w:r w:rsidR="00AA24DE">
        <w:t xml:space="preserve">mit Sie </w:t>
      </w:r>
      <w:r w:rsidRPr="00E1558A">
        <w:t>in der Rechtsanwendung die beste Unterstützung erfahren.  </w:t>
      </w:r>
    </w:p>
    <w:p w14:paraId="3CADBA4B" w14:textId="6FA491A9" w:rsidR="0030324B" w:rsidRPr="0030324B" w:rsidRDefault="00AA24DE" w:rsidP="0030324B">
      <w:r w:rsidRPr="00AA24DE">
        <w:t>Zudem bietet die Datenbank weitere inhaltliche Vorteile:  </w:t>
      </w:r>
    </w:p>
    <w:p w14:paraId="10B54A63" w14:textId="77777777" w:rsidR="0030324B" w:rsidRPr="0030324B" w:rsidRDefault="0030324B" w:rsidP="0030324B">
      <w:pPr>
        <w:numPr>
          <w:ilvl w:val="0"/>
          <w:numId w:val="1"/>
        </w:numPr>
      </w:pPr>
      <w:r w:rsidRPr="0030324B">
        <w:t>Neben den LBW-Inhalten profitieren Sie mit der Online-Version zusätzlich von inkludierten Arbeitshilfen und Weiterbildungsangeboten </w:t>
      </w:r>
    </w:p>
    <w:p w14:paraId="15F36779" w14:textId="037CB4E3" w:rsidR="0030324B" w:rsidRPr="0030324B" w:rsidRDefault="0030324B" w:rsidP="0030324B">
      <w:pPr>
        <w:numPr>
          <w:ilvl w:val="0"/>
          <w:numId w:val="2"/>
        </w:numPr>
      </w:pPr>
      <w:r w:rsidRPr="0030324B">
        <w:t>Die Grundversion des</w:t>
      </w:r>
      <w:r w:rsidR="00AA24DE">
        <w:t xml:space="preserve"> Haufe Steuer Office Kanzlei Edition</w:t>
      </w:r>
      <w:r w:rsidRPr="0030324B">
        <w:t xml:space="preserve"> bietet 3 User-Lizenzen inklusive </w:t>
      </w:r>
    </w:p>
    <w:p w14:paraId="35D54694" w14:textId="77777777" w:rsidR="0030324B" w:rsidRPr="0030324B" w:rsidRDefault="0030324B" w:rsidP="0030324B">
      <w:pPr>
        <w:numPr>
          <w:ilvl w:val="0"/>
          <w:numId w:val="3"/>
        </w:numPr>
      </w:pPr>
      <w:r w:rsidRPr="0030324B">
        <w:t>Sie sparen Zeit und sind automatisch immer auf dem aktuellen rechtssicheren Stand, ganz ohne fortlaufende Ergänzungslieferungen </w:t>
      </w:r>
    </w:p>
    <w:p w14:paraId="52016964" w14:textId="77777777" w:rsidR="0030324B" w:rsidRPr="0030324B" w:rsidRDefault="0030324B" w:rsidP="0030324B">
      <w:pPr>
        <w:numPr>
          <w:ilvl w:val="0"/>
          <w:numId w:val="4"/>
        </w:numPr>
      </w:pPr>
      <w:r w:rsidRPr="0030324B">
        <w:t>Sie nutzen eine zeitgemäße und nachhaltige Version für ihre bewährten Fachinformationen </w:t>
      </w:r>
    </w:p>
    <w:p w14:paraId="1B350210" w14:textId="77777777" w:rsidR="0030324B" w:rsidRPr="0030324B" w:rsidRDefault="0030324B" w:rsidP="0030324B">
      <w:pPr>
        <w:numPr>
          <w:ilvl w:val="0"/>
          <w:numId w:val="5"/>
        </w:numPr>
      </w:pPr>
      <w:r w:rsidRPr="0030324B">
        <w:t>In Zeiten von Hybrid-Arbeit arbeiten Sie völlig ortsunabhängig  </w:t>
      </w:r>
    </w:p>
    <w:p w14:paraId="5B9CE665" w14:textId="77777777" w:rsidR="0030324B" w:rsidRPr="0030324B" w:rsidRDefault="0030324B" w:rsidP="0030324B">
      <w:pPr>
        <w:numPr>
          <w:ilvl w:val="0"/>
          <w:numId w:val="6"/>
        </w:numPr>
      </w:pPr>
      <w:r w:rsidRPr="0030324B">
        <w:t>Sie erhalten fortan eine kalenderjährliche Jahrespreisrechnung </w:t>
      </w:r>
    </w:p>
    <w:p w14:paraId="2D3F8E94" w14:textId="77777777" w:rsidR="0030324B" w:rsidRPr="0030324B" w:rsidRDefault="0030324B" w:rsidP="0030324B">
      <w:r w:rsidRPr="0030324B">
        <w:rPr>
          <w:b/>
          <w:bCs/>
        </w:rPr>
        <w:t>Was ist zu tun? </w:t>
      </w:r>
      <w:r w:rsidRPr="0030324B">
        <w:t> </w:t>
      </w:r>
    </w:p>
    <w:p w14:paraId="7A4D8E17" w14:textId="4D6CDEA2" w:rsidR="0030324B" w:rsidRPr="0030324B" w:rsidRDefault="0030324B" w:rsidP="0030324B">
      <w:r w:rsidRPr="0030324B">
        <w:t xml:space="preserve">Um das Ganze für Sie so bequem wie möglich zu machen, schreiben wir Ihr Loseblattwerk-Abo einfach auf ein Online-Abo </w:t>
      </w:r>
      <w:r w:rsidR="00AA24DE">
        <w:t>Haufe Steuer Office Kanzlei Edition</w:t>
      </w:r>
      <w:r w:rsidRPr="0030324B">
        <w:t xml:space="preserve"> um. Ab diesem Zeitpunkt greifen Sie auf Ihre gewohnten Inhalte dann einfach online zu.  </w:t>
      </w:r>
    </w:p>
    <w:p w14:paraId="0C510FC1" w14:textId="77777777" w:rsidR="0030324B" w:rsidRPr="0030324B" w:rsidRDefault="0030324B" w:rsidP="0030324B">
      <w:r w:rsidRPr="0030324B">
        <w:t> </w:t>
      </w:r>
    </w:p>
    <w:p w14:paraId="5CE16D86" w14:textId="6D5BF723" w:rsidR="0030324B" w:rsidRPr="0030324B" w:rsidRDefault="0030324B" w:rsidP="0030324B">
      <w:r w:rsidRPr="0030324B">
        <w:rPr>
          <w:b/>
          <w:bCs/>
        </w:rPr>
        <w:lastRenderedPageBreak/>
        <w:t>Teilen Sie uns bitte mit</w:t>
      </w:r>
      <w:r w:rsidRPr="0030324B">
        <w:t>, wie viele Nutzer auf das Online-Produkt zugreifen sollen und übermitteln Sie uns die personalisierte E-Mail-Adresse, sowie Vor- und Familiennamen der entsprechenden User.   </w:t>
      </w:r>
    </w:p>
    <w:p w14:paraId="4F339BC0" w14:textId="448A19DB" w:rsidR="0030324B" w:rsidRPr="0030324B" w:rsidRDefault="0030324B" w:rsidP="0030324B">
      <w:r w:rsidRPr="0030324B">
        <w:t xml:space="preserve">Bitte geben Sie als Betreff „Umstellung </w:t>
      </w:r>
      <w:r w:rsidR="00AA24DE" w:rsidRPr="0030324B">
        <w:t xml:space="preserve">LBW-Grunderwerbsteuergesetz </w:t>
      </w:r>
      <w:r w:rsidRPr="0030324B">
        <w:t>auf Online“ an.</w:t>
      </w:r>
      <w:r w:rsidRPr="0030324B">
        <w:rPr>
          <w:rFonts w:ascii="Arial" w:hAnsi="Arial" w:cs="Arial"/>
        </w:rPr>
        <w:t>  </w:t>
      </w:r>
      <w:r w:rsidRPr="0030324B">
        <w:t> </w:t>
      </w:r>
    </w:p>
    <w:p w14:paraId="09EAE813" w14:textId="5385D7DC" w:rsidR="0030324B" w:rsidRPr="0030324B" w:rsidRDefault="0030324B" w:rsidP="0030324B">
      <w:r w:rsidRPr="0030324B">
        <w:t>Sobald uns Ihre Daten vorliegen, erhalten Sie umgehend eine E-Mail mit Ihren Zugangsdaten für die Online-Datenbank.</w:t>
      </w:r>
      <w:r w:rsidRPr="0030324B">
        <w:rPr>
          <w:rFonts w:ascii="Arial" w:hAnsi="Arial" w:cs="Arial"/>
        </w:rPr>
        <w:t>  </w:t>
      </w:r>
      <w:r w:rsidRPr="0030324B">
        <w:t> </w:t>
      </w:r>
    </w:p>
    <w:p w14:paraId="13D5D3C8" w14:textId="77777777" w:rsidR="0030324B" w:rsidRPr="0030324B" w:rsidRDefault="0030324B" w:rsidP="0030324B">
      <w:r w:rsidRPr="0030324B">
        <w:rPr>
          <w:rFonts w:ascii="Arial" w:hAnsi="Arial" w:cs="Arial"/>
        </w:rPr>
        <w:t> </w:t>
      </w:r>
      <w:r w:rsidRPr="0030324B">
        <w:t> </w:t>
      </w:r>
    </w:p>
    <w:p w14:paraId="0D2A5FF3" w14:textId="77777777" w:rsidR="0030324B" w:rsidRPr="0030324B" w:rsidRDefault="0030324B" w:rsidP="0030324B">
      <w:r w:rsidRPr="0030324B">
        <w:rPr>
          <w:b/>
          <w:bCs/>
        </w:rPr>
        <w:t>Wir helfen Ihnen gerne: </w:t>
      </w:r>
      <w:r w:rsidRPr="0030324B">
        <w:t> </w:t>
      </w:r>
    </w:p>
    <w:p w14:paraId="2DAF9AE9" w14:textId="77777777" w:rsidR="0030324B" w:rsidRPr="0030324B" w:rsidRDefault="0030324B" w:rsidP="0030324B">
      <w:r w:rsidRPr="0030324B">
        <w:t>Signatur Buchhändler </w:t>
      </w:r>
    </w:p>
    <w:p w14:paraId="0D2E4640" w14:textId="77777777" w:rsidR="004D747B" w:rsidRDefault="004D747B"/>
    <w:sectPr w:rsidR="004D74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D9F"/>
    <w:multiLevelType w:val="multilevel"/>
    <w:tmpl w:val="CC00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C84739"/>
    <w:multiLevelType w:val="multilevel"/>
    <w:tmpl w:val="3BB4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9F72BF"/>
    <w:multiLevelType w:val="multilevel"/>
    <w:tmpl w:val="9D52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F511CE"/>
    <w:multiLevelType w:val="multilevel"/>
    <w:tmpl w:val="86CC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F25BF6"/>
    <w:multiLevelType w:val="multilevel"/>
    <w:tmpl w:val="7346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020B62"/>
    <w:multiLevelType w:val="multilevel"/>
    <w:tmpl w:val="DAC0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9151443">
    <w:abstractNumId w:val="2"/>
  </w:num>
  <w:num w:numId="2" w16cid:durableId="616371001">
    <w:abstractNumId w:val="3"/>
  </w:num>
  <w:num w:numId="3" w16cid:durableId="1612740648">
    <w:abstractNumId w:val="4"/>
  </w:num>
  <w:num w:numId="4" w16cid:durableId="1938634038">
    <w:abstractNumId w:val="5"/>
  </w:num>
  <w:num w:numId="5" w16cid:durableId="1312633900">
    <w:abstractNumId w:val="1"/>
  </w:num>
  <w:num w:numId="6" w16cid:durableId="169727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24B"/>
    <w:rsid w:val="0030324B"/>
    <w:rsid w:val="00342AE8"/>
    <w:rsid w:val="004D747B"/>
    <w:rsid w:val="00740A0F"/>
    <w:rsid w:val="007A021B"/>
    <w:rsid w:val="00920FC6"/>
    <w:rsid w:val="00AA24DE"/>
    <w:rsid w:val="00B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9F96"/>
  <w15:chartTrackingRefBased/>
  <w15:docId w15:val="{CC5C4D0C-0B90-4F7C-AF9E-414A4E50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3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3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3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3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3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3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3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3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3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3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3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3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32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32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32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32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32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32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03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03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03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032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032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032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3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32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032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1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4" ma:contentTypeDescription="Ein neues Dokument erstellen." ma:contentTypeScope="" ma:versionID="d07cb08e522cca02fdb1f63096d9d54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c26775da61716402219ad1017d4b1b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E8CF852A-25DC-4095-BB75-9992B5938D63}"/>
</file>

<file path=customXml/itemProps2.xml><?xml version="1.0" encoding="utf-8"?>
<ds:datastoreItem xmlns:ds="http://schemas.openxmlformats.org/officeDocument/2006/customXml" ds:itemID="{A2F3BB82-A2B6-43DC-BE53-14829F72825F}"/>
</file>

<file path=customXml/itemProps3.xml><?xml version="1.0" encoding="utf-8"?>
<ds:datastoreItem xmlns:ds="http://schemas.openxmlformats.org/officeDocument/2006/customXml" ds:itemID="{08C780D6-C621-4643-B4C4-051A9732BB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Haufe Group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2025-06-03T09:59:00Z</dcterms:created>
  <dcterms:modified xsi:type="dcterms:W3CDTF">2025-06-03T12:58:00Z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